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Pr="004B1D86" w:rsidRDefault="002619D7" w:rsidP="004B1D86">
      <w:pPr>
        <w:shd w:val="clear" w:color="auto" w:fill="FFFFFF"/>
        <w:spacing w:before="300" w:after="225" w:line="240" w:lineRule="auto"/>
        <w:outlineLvl w:val="0"/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</w:pPr>
      <w:r w:rsidRPr="004B1D86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fldChar w:fldCharType="begin"/>
      </w:r>
      <w:r w:rsidR="004B1D86" w:rsidRPr="004B1D86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instrText xml:space="preserve"> HYPERLINK "http://www.scienzeascuola.it/laboratorio/biologia/416-osservazione-di-batteri" </w:instrText>
      </w:r>
      <w:r w:rsidRPr="004B1D86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fldChar w:fldCharType="separate"/>
      </w:r>
      <w:r w:rsidR="004B1D86" w:rsidRPr="004B1D86">
        <w:rPr>
          <w:rFonts w:ascii="Arial" w:eastAsia="Times New Roman" w:hAnsi="Arial" w:cs="Arial"/>
          <w:color w:val="55BB11"/>
          <w:spacing w:val="-15"/>
          <w:kern w:val="36"/>
          <w:sz w:val="45"/>
          <w:u w:val="single"/>
          <w:lang w:eastAsia="it-IT"/>
        </w:rPr>
        <w:t>Osservazione di batteri</w:t>
      </w:r>
      <w:r w:rsidRPr="004B1D86">
        <w:rPr>
          <w:rFonts w:ascii="Arial" w:eastAsia="Times New Roman" w:hAnsi="Arial" w:cs="Arial"/>
          <w:color w:val="666666"/>
          <w:spacing w:val="-15"/>
          <w:kern w:val="36"/>
          <w:sz w:val="45"/>
          <w:szCs w:val="45"/>
          <w:lang w:eastAsia="it-IT"/>
        </w:rPr>
        <w:fldChar w:fldCharType="end"/>
      </w:r>
    </w:p>
    <w:p w:rsidR="004B1D86" w:rsidRPr="004B1D86" w:rsidRDefault="004B1D86" w:rsidP="004B1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sz w:val="15"/>
          <w:szCs w:val="15"/>
          <w:lang w:eastAsia="it-IT"/>
        </w:rPr>
      </w:pPr>
    </w:p>
    <w:p w:rsidR="008A17DC" w:rsidRPr="00A563C6" w:rsidRDefault="004B1D86" w:rsidP="004B1D86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it-IT"/>
        </w:rPr>
      </w:pPr>
      <w:r w:rsidRPr="00A563C6">
        <w:rPr>
          <w:rFonts w:ascii="Arial" w:eastAsia="Times New Roman" w:hAnsi="Arial" w:cs="Arial"/>
          <w:sz w:val="18"/>
          <w:szCs w:val="18"/>
          <w:u w:val="single"/>
          <w:lang w:eastAsia="it-IT"/>
        </w:rPr>
        <w:t>Laboratorio di Biologia</w:t>
      </w:r>
    </w:p>
    <w:p w:rsidR="004B1D86" w:rsidRPr="00A563C6" w:rsidRDefault="004B1D86" w:rsidP="004B1D86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it-IT"/>
        </w:rPr>
      </w:pPr>
      <w:r w:rsidRPr="00A563C6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Prof. Livia Brancaccio</w:t>
      </w:r>
    </w:p>
    <w:p w:rsidR="004B1D86" w:rsidRPr="00A563C6" w:rsidRDefault="004B1D86" w:rsidP="004B1D86">
      <w:pPr>
        <w:numPr>
          <w:ilvl w:val="0"/>
          <w:numId w:val="1"/>
        </w:numPr>
        <w:pBdr>
          <w:left w:val="single" w:sz="6" w:space="4" w:color="E5E5E5"/>
        </w:pBd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it-IT"/>
        </w:rPr>
      </w:pPr>
      <w:r w:rsidRPr="00A563C6">
        <w:rPr>
          <w:rFonts w:ascii="Arial" w:eastAsia="Times New Roman" w:hAnsi="Arial" w:cs="Arial"/>
          <w:sz w:val="18"/>
          <w:szCs w:val="18"/>
          <w:u w:val="single"/>
          <w:lang w:eastAsia="it-IT"/>
        </w:rPr>
        <w:t>I.C. Virgilio 4 Napoli</w:t>
      </w:r>
    </w:p>
    <w:p w:rsidR="004B1D86" w:rsidRPr="008A17DC" w:rsidRDefault="004B1D86" w:rsidP="004B1D86">
      <w:pPr>
        <w:pBdr>
          <w:left w:val="single" w:sz="6" w:space="4" w:color="E5E5E5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909090"/>
          <w:sz w:val="18"/>
          <w:szCs w:val="18"/>
          <w:lang w:eastAsia="it-IT"/>
        </w:rPr>
      </w:pPr>
    </w:p>
    <w:p w:rsidR="004B1D86" w:rsidRPr="004B1D86" w:rsidRDefault="004B1D86" w:rsidP="004B1D86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909090"/>
          <w:sz w:val="21"/>
          <w:szCs w:val="21"/>
          <w:lang w:eastAsia="it-IT"/>
        </w:rPr>
        <w:drawing>
          <wp:inline distT="0" distB="0" distL="0" distR="0">
            <wp:extent cx="6457950" cy="3629025"/>
            <wp:effectExtent l="19050" t="0" r="0" b="0"/>
            <wp:docPr id="1" name="Immagine 1" descr="bat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86" w:rsidRPr="004B1D86" w:rsidRDefault="004B1D86" w:rsidP="004B1D8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4B1D86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Obiettivo</w:t>
      </w: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: osservazione di </w:t>
      </w:r>
      <w:hyperlink r:id="rId6" w:history="1">
        <w:r w:rsidRPr="004B1D86">
          <w:rPr>
            <w:rFonts w:ascii="Arial" w:eastAsia="Times New Roman" w:hAnsi="Arial" w:cs="Arial"/>
            <w:b/>
            <w:bCs/>
            <w:color w:val="55BB11"/>
            <w:sz w:val="24"/>
            <w:szCs w:val="24"/>
            <w:u w:val="single"/>
            <w:lang w:eastAsia="it-IT"/>
          </w:rPr>
          <w:t>cellule</w:t>
        </w:r>
      </w:hyperlink>
      <w:r w:rsidRPr="004B1D86">
        <w:rPr>
          <w:rFonts w:ascii="Arial" w:eastAsia="Times New Roman" w:hAnsi="Arial" w:cs="Arial"/>
          <w:b/>
          <w:bCs/>
          <w:color w:val="555555"/>
          <w:sz w:val="24"/>
          <w:szCs w:val="24"/>
          <w:lang w:eastAsia="it-IT"/>
        </w:rPr>
        <w:t> batteriche</w:t>
      </w: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e confronto con quelle </w:t>
      </w:r>
      <w:proofErr w:type="spellStart"/>
      <w:r w:rsidR="002619D7"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fldChar w:fldCharType="begin"/>
      </w: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instrText xml:space="preserve"> HYPERLINK "http://www.scienzeascuola.it/significato/70-eucariote" </w:instrText>
      </w:r>
      <w:r w:rsidR="002619D7"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fldChar w:fldCharType="separate"/>
      </w:r>
      <w:r w:rsidRPr="004B1D86">
        <w:rPr>
          <w:rFonts w:ascii="Arial" w:eastAsia="Times New Roman" w:hAnsi="Arial" w:cs="Arial"/>
          <w:color w:val="55BB11"/>
          <w:sz w:val="24"/>
          <w:szCs w:val="24"/>
          <w:u w:val="single"/>
          <w:lang w:eastAsia="it-IT"/>
        </w:rPr>
        <w:t>eucariote</w:t>
      </w:r>
      <w:proofErr w:type="spellEnd"/>
      <w:r w:rsidR="002619D7"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fldChar w:fldCharType="end"/>
      </w: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.</w:t>
      </w:r>
    </w:p>
    <w:p w:rsidR="004B1D86" w:rsidRPr="004B1D86" w:rsidRDefault="004B1D86" w:rsidP="004B1D86">
      <w:pPr>
        <w:shd w:val="clear" w:color="auto" w:fill="FFFFFF"/>
        <w:spacing w:before="300" w:after="300" w:line="240" w:lineRule="auto"/>
        <w:jc w:val="both"/>
        <w:outlineLvl w:val="2"/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</w:pPr>
      <w:r w:rsidRPr="004B1D86">
        <w:rPr>
          <w:rFonts w:ascii="Arial" w:eastAsia="Times New Roman" w:hAnsi="Arial" w:cs="Arial"/>
          <w:b/>
          <w:bCs/>
          <w:color w:val="666666"/>
          <w:spacing w:val="-15"/>
          <w:sz w:val="36"/>
          <w:lang w:eastAsia="it-IT"/>
        </w:rPr>
        <w:t>Strumenti per osservare i batteri al microscopio</w:t>
      </w:r>
    </w:p>
    <w:p w:rsidR="004B1D86" w:rsidRPr="004B1D86" w:rsidRDefault="002619D7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7" w:history="1">
        <w:r w:rsidR="004B1D86" w:rsidRPr="004B1D86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microscopio</w:t>
        </w:r>
      </w:hyperlink>
    </w:p>
    <w:p w:rsidR="004B1D86" w:rsidRPr="004B1D86" w:rsidRDefault="004B1D86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vetrini</w:t>
      </w:r>
    </w:p>
    <w:p w:rsidR="004B1D86" w:rsidRPr="004B1D86" w:rsidRDefault="004B1D86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ansa con filo di nickel cromo (se non è disponibile va bene anche uno stuzzicadenti)</w:t>
      </w:r>
    </w:p>
    <w:p w:rsidR="004B1D86" w:rsidRPr="004B1D86" w:rsidRDefault="004B1D86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contagocce</w:t>
      </w:r>
    </w:p>
    <w:p w:rsidR="004B1D86" w:rsidRPr="004B1D86" w:rsidRDefault="004B1D86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blu di metilene allo 0,1 %</w:t>
      </w:r>
    </w:p>
    <w:p w:rsidR="004B1D86" w:rsidRPr="004B1D86" w:rsidRDefault="004B1D86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soluzione fisiologica (soluzione acquosa di </w:t>
      </w:r>
      <w:proofErr w:type="spellStart"/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NaCl</w:t>
      </w:r>
      <w:proofErr w:type="spellEnd"/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 xml:space="preserve"> 9 g/L)</w:t>
      </w:r>
    </w:p>
    <w:p w:rsidR="004B1D86" w:rsidRPr="004B1D86" w:rsidRDefault="004B1D86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yogurt</w:t>
      </w:r>
    </w:p>
    <w:p w:rsidR="004B1D86" w:rsidRPr="004B1D86" w:rsidRDefault="004B1D86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terreno di coltura</w:t>
      </w:r>
    </w:p>
    <w:p w:rsidR="004B1D86" w:rsidRPr="004B1D86" w:rsidRDefault="004B1D86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proofErr w:type="spellStart"/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Bunsen</w:t>
      </w:r>
      <w:proofErr w:type="spellEnd"/>
    </w:p>
    <w:p w:rsidR="004B1D86" w:rsidRPr="004B1D86" w:rsidRDefault="004B1D86" w:rsidP="004B1D86">
      <w:pPr>
        <w:numPr>
          <w:ilvl w:val="0"/>
          <w:numId w:val="2"/>
        </w:numPr>
        <w:pBdr>
          <w:top w:val="dashed" w:sz="6" w:space="8" w:color="ACCF9B"/>
          <w:left w:val="dashed" w:sz="6" w:space="23" w:color="ACCF9B"/>
          <w:bottom w:val="dashed" w:sz="6" w:space="8" w:color="ACCF9B"/>
          <w:right w:val="dashed" w:sz="6" w:space="23" w:color="ACCF9B"/>
        </w:pBdr>
        <w:shd w:val="clear" w:color="auto" w:fill="F4FFEF"/>
        <w:spacing w:after="0" w:line="240" w:lineRule="auto"/>
        <w:ind w:left="0"/>
        <w:jc w:val="both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r w:rsidRPr="004B1D86">
        <w:rPr>
          <w:rFonts w:ascii="Arial" w:eastAsia="Times New Roman" w:hAnsi="Arial" w:cs="Arial"/>
          <w:color w:val="909090"/>
          <w:sz w:val="21"/>
          <w:szCs w:val="21"/>
          <w:lang w:eastAsia="it-IT"/>
        </w:rPr>
        <w:t>olio di immersione per microscopia</w:t>
      </w:r>
    </w:p>
    <w:p w:rsidR="004B1D86" w:rsidRPr="004B1D86" w:rsidRDefault="004B1D86" w:rsidP="004B1D86">
      <w:pPr>
        <w:shd w:val="clear" w:color="auto" w:fill="FFFFFF"/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666666"/>
          <w:spacing w:val="-15"/>
          <w:sz w:val="45"/>
          <w:szCs w:val="45"/>
          <w:lang w:eastAsia="it-IT"/>
        </w:rPr>
      </w:pPr>
      <w:r w:rsidRPr="004B1D86">
        <w:rPr>
          <w:rFonts w:ascii="Arial" w:eastAsia="Times New Roman" w:hAnsi="Arial" w:cs="Arial"/>
          <w:color w:val="666666"/>
          <w:spacing w:val="-15"/>
          <w:sz w:val="45"/>
          <w:szCs w:val="45"/>
          <w:lang w:eastAsia="it-IT"/>
        </w:rPr>
        <w:t>Prova di laboratorio: osservare i batteri al microscopio</w:t>
      </w:r>
    </w:p>
    <w:p w:rsidR="004B1D86" w:rsidRPr="004B1D86" w:rsidRDefault="004B1D86" w:rsidP="004B1D8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I batteri si possono procurare comprando un vasetto dì yogurt con fermenti lattici vivi o, se si vuole far vedere la presenza di </w:t>
      </w:r>
      <w:hyperlink r:id="rId8" w:history="1">
        <w:r w:rsidRPr="004B1D86">
          <w:rPr>
            <w:rFonts w:ascii="Arial" w:eastAsia="Times New Roman" w:hAnsi="Arial" w:cs="Arial"/>
            <w:color w:val="55BB11"/>
            <w:sz w:val="24"/>
            <w:szCs w:val="24"/>
            <w:u w:val="single"/>
            <w:lang w:eastAsia="it-IT"/>
          </w:rPr>
          <w:t>spore</w:t>
        </w:r>
      </w:hyperlink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 nell’aria, si possono far crescere colonie su un </w:t>
      </w: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lastRenderedPageBreak/>
        <w:t xml:space="preserve">terreno di coltura. Il terreno può essere preparato sciogliendo 2 g di agar in 100 ml di acqua e aggiungendo alla soluzione alcune sostanze nutrienti in piccola quantità (ad esempio 0,3 g di lattosio, una punta di spatola di estratto di carne). Versare la soluzione in capsule </w:t>
      </w:r>
      <w:proofErr w:type="spellStart"/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Petri</w:t>
      </w:r>
      <w:proofErr w:type="spellEnd"/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e tenerle scoperte fuori dalla finestra o nell’aula per alcune ore. Porre in forno termostatato a 36 °C. Dopo alcuni giorni sulla superficie della coltura saranno osservabili alcune </w:t>
      </w:r>
      <w:hyperlink r:id="rId9" w:history="1">
        <w:r w:rsidRPr="004B1D86">
          <w:rPr>
            <w:rFonts w:ascii="Arial" w:eastAsia="Times New Roman" w:hAnsi="Arial" w:cs="Arial"/>
            <w:color w:val="55BB11"/>
            <w:sz w:val="24"/>
            <w:szCs w:val="24"/>
            <w:u w:val="single"/>
            <w:lang w:eastAsia="it-IT"/>
          </w:rPr>
          <w:t>muffe</w:t>
        </w:r>
      </w:hyperlink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 e numerose colonie batteriche di aspetto diverso.</w:t>
      </w:r>
    </w:p>
    <w:p w:rsidR="004B1D86" w:rsidRPr="004B1D86" w:rsidRDefault="004B1D86" w:rsidP="004B1D8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Per l’osservazione mettere una goccia d’acqua su di un vetrino portaoggetti passare lo stuzzicadenti su una colonia e stemperare il materiale in una goccia di soluzione fisiologica. Far asciugare alla fiamma di un </w:t>
      </w:r>
      <w:proofErr w:type="spellStart"/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Bunsen</w:t>
      </w:r>
      <w:proofErr w:type="spellEnd"/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passandovi sopra il vetrino velocemente (l’ultimo passaggio farlo con il preparato rivolto alla fiamma). Colorarlo con una goccia di blu di metilene, sciacquare e far asciugare.</w:t>
      </w:r>
    </w:p>
    <w:p w:rsidR="004B1D86" w:rsidRPr="004B1D86" w:rsidRDefault="004B1D86" w:rsidP="004B1D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Osservare con l’obiettivo ad immersione. Si mette una goccia di olio per immersione sul preparato e vi si immerge l’obiettivo da 100 ingrandimenti. Si dovrebbe riuscire a mettere a fuoco le </w:t>
      </w:r>
      <w:hyperlink r:id="rId10" w:history="1">
        <w:r w:rsidRPr="004B1D86">
          <w:rPr>
            <w:rFonts w:ascii="Arial" w:eastAsia="Times New Roman" w:hAnsi="Arial" w:cs="Arial"/>
            <w:color w:val="55BB11"/>
            <w:sz w:val="24"/>
            <w:szCs w:val="24"/>
            <w:u w:val="single"/>
            <w:lang w:eastAsia="it-IT"/>
          </w:rPr>
          <w:t>cellule</w:t>
        </w:r>
      </w:hyperlink>
      <w:r w:rsidR="00A563C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</w:t>
      </w: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batteriche a 1000 o anche a 1500 ingrandimenti.</w:t>
      </w:r>
      <w:r w:rsidRPr="004B1D86">
        <w:rPr>
          <w:rFonts w:ascii="Arial" w:eastAsia="Times New Roman" w:hAnsi="Arial" w:cs="Arial"/>
          <w:color w:val="555555"/>
          <w:sz w:val="24"/>
          <w:szCs w:val="24"/>
          <w:lang w:eastAsia="it-IT"/>
        </w:rPr>
        <w:br/>
        <w:t>Cercate di rappresentare graficamente il preparato osservato.</w:t>
      </w:r>
    </w:p>
    <w:p w:rsidR="004B1D86" w:rsidRPr="004B1D86" w:rsidRDefault="004B1D86" w:rsidP="004B1D86">
      <w:pPr>
        <w:shd w:val="clear" w:color="auto" w:fill="FFFFFF"/>
        <w:spacing w:before="300" w:after="300" w:line="240" w:lineRule="auto"/>
        <w:outlineLvl w:val="2"/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</w:pPr>
      <w:r w:rsidRPr="004B1D86">
        <w:rPr>
          <w:rFonts w:ascii="Arial" w:eastAsia="Times New Roman" w:hAnsi="Arial" w:cs="Arial"/>
          <w:color w:val="666666"/>
          <w:spacing w:val="-15"/>
          <w:sz w:val="36"/>
          <w:lang w:eastAsia="it-IT"/>
        </w:rPr>
        <w:t> </w:t>
      </w:r>
      <w:r w:rsidRPr="004B1D86">
        <w:rPr>
          <w:rFonts w:ascii="Arial" w:eastAsia="Times New Roman" w:hAnsi="Arial" w:cs="Arial"/>
          <w:color w:val="666666"/>
          <w:spacing w:val="-15"/>
          <w:sz w:val="36"/>
          <w:szCs w:val="36"/>
          <w:lang w:eastAsia="it-IT"/>
        </w:rPr>
        <w:t>Per approfondire, potrebbe interessarti:</w:t>
      </w:r>
    </w:p>
    <w:p w:rsidR="004B1D86" w:rsidRPr="004B1D86" w:rsidRDefault="002619D7" w:rsidP="004B1D86">
      <w:pPr>
        <w:numPr>
          <w:ilvl w:val="0"/>
          <w:numId w:val="3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1" w:history="1">
        <w:r w:rsidR="004B1D86" w:rsidRPr="004B1D86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Lichene - Significato</w:t>
        </w:r>
      </w:hyperlink>
    </w:p>
    <w:p w:rsidR="004B1D86" w:rsidRPr="004B1D86" w:rsidRDefault="002619D7" w:rsidP="004B1D86">
      <w:pPr>
        <w:numPr>
          <w:ilvl w:val="0"/>
          <w:numId w:val="3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2" w:history="1">
        <w:r w:rsidR="004B1D86" w:rsidRPr="004B1D86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Nitrificazione - Significato</w:t>
        </w:r>
      </w:hyperlink>
    </w:p>
    <w:p w:rsidR="004B1D86" w:rsidRPr="004B1D86" w:rsidRDefault="002619D7" w:rsidP="004B1D86">
      <w:pPr>
        <w:numPr>
          <w:ilvl w:val="0"/>
          <w:numId w:val="3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3" w:history="1">
        <w:r w:rsidR="004B1D86" w:rsidRPr="004B1D86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Procariote - Significato</w:t>
        </w:r>
      </w:hyperlink>
    </w:p>
    <w:p w:rsidR="004B1D86" w:rsidRPr="004B1D86" w:rsidRDefault="002619D7" w:rsidP="004B1D86">
      <w:pPr>
        <w:numPr>
          <w:ilvl w:val="0"/>
          <w:numId w:val="3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4" w:history="1">
        <w:r w:rsidR="004B1D86" w:rsidRPr="004B1D86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Ruolo fondamentale dei batteri nel cambiamento climatico</w:t>
        </w:r>
      </w:hyperlink>
    </w:p>
    <w:p w:rsidR="004B1D86" w:rsidRPr="004B1D86" w:rsidRDefault="002619D7" w:rsidP="004B1D86">
      <w:pPr>
        <w:numPr>
          <w:ilvl w:val="0"/>
          <w:numId w:val="3"/>
        </w:numPr>
        <w:pBdr>
          <w:bottom w:val="dashed" w:sz="6" w:space="4" w:color="DDDDDD"/>
        </w:pBd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909090"/>
          <w:sz w:val="21"/>
          <w:szCs w:val="21"/>
          <w:lang w:eastAsia="it-IT"/>
        </w:rPr>
      </w:pPr>
      <w:hyperlink r:id="rId15" w:history="1">
        <w:r w:rsidR="004B1D86" w:rsidRPr="004B1D86">
          <w:rPr>
            <w:rFonts w:ascii="Arial" w:eastAsia="Times New Roman" w:hAnsi="Arial" w:cs="Arial"/>
            <w:color w:val="55BB11"/>
            <w:sz w:val="21"/>
            <w:u w:val="single"/>
            <w:lang w:eastAsia="it-IT"/>
          </w:rPr>
          <w:t>Il microscopio ottico</w:t>
        </w:r>
      </w:hyperlink>
    </w:p>
    <w:p w:rsidR="006D7596" w:rsidRDefault="006D7596"/>
    <w:sectPr w:rsidR="006D7596" w:rsidSect="006D7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4E15"/>
    <w:multiLevelType w:val="multilevel"/>
    <w:tmpl w:val="EEE2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2424E"/>
    <w:multiLevelType w:val="multilevel"/>
    <w:tmpl w:val="B38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4445A"/>
    <w:multiLevelType w:val="multilevel"/>
    <w:tmpl w:val="D38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D86"/>
    <w:rsid w:val="002619D7"/>
    <w:rsid w:val="004B1D86"/>
    <w:rsid w:val="006D7596"/>
    <w:rsid w:val="008A17DC"/>
    <w:rsid w:val="00A5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596"/>
  </w:style>
  <w:style w:type="paragraph" w:styleId="Titolo1">
    <w:name w:val="heading 1"/>
    <w:basedOn w:val="Normale"/>
    <w:link w:val="Titolo1Carattere"/>
    <w:uiPriority w:val="9"/>
    <w:qFormat/>
    <w:rsid w:val="004B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B1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B1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1D8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1D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1D8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B1D8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B1D86"/>
  </w:style>
  <w:style w:type="paragraph" w:styleId="NormaleWeb">
    <w:name w:val="Normal (Web)"/>
    <w:basedOn w:val="Normale"/>
    <w:uiPriority w:val="99"/>
    <w:semiHidden/>
    <w:unhideWhenUsed/>
    <w:rsid w:val="004B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1D8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971">
              <w:marLeft w:val="0"/>
              <w:marRight w:val="0"/>
              <w:marTop w:val="0"/>
              <w:marBottom w:val="300"/>
              <w:divBdr>
                <w:top w:val="single" w:sz="6" w:space="8" w:color="E5E5E5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061904406">
              <w:marLeft w:val="0"/>
              <w:marRight w:val="0"/>
              <w:marTop w:val="0"/>
              <w:marBottom w:val="0"/>
              <w:divBdr>
                <w:top w:val="single" w:sz="6" w:space="4" w:color="E5E5E5"/>
                <w:left w:val="single" w:sz="6" w:space="4" w:color="E5E5E5"/>
                <w:bottom w:val="single" w:sz="6" w:space="4" w:color="E5E5E5"/>
                <w:right w:val="single" w:sz="6" w:space="4" w:color="E5E5E5"/>
              </w:divBdr>
            </w:div>
            <w:div w:id="14235280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zeascuola.it/significato/165-spora" TargetMode="External"/><Relationship Id="rId13" Type="http://schemas.openxmlformats.org/officeDocument/2006/relationships/hyperlink" Target="http://www.scienzeascuola.it/significato/135-procario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zeascuola.it/lezioni/biologia/357-il-microscopio-ottico" TargetMode="External"/><Relationship Id="rId12" Type="http://schemas.openxmlformats.org/officeDocument/2006/relationships/hyperlink" Target="http://www.scienzeascuola.it/significato/122-nitrificazio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ienzeascuola.it/lezioni/biologia/277-le-cellule-tipologia" TargetMode="External"/><Relationship Id="rId11" Type="http://schemas.openxmlformats.org/officeDocument/2006/relationships/hyperlink" Target="http://www.scienzeascuola.it/significato/102-lichen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cienzeascuola.it/lezioni/biologia/357-il-microscopio-ottico" TargetMode="External"/><Relationship Id="rId10" Type="http://schemas.openxmlformats.org/officeDocument/2006/relationships/hyperlink" Target="http://www.scienzeascuola.it/significato/29-cellu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zeascuola.it/significato/119-muffa" TargetMode="External"/><Relationship Id="rId14" Type="http://schemas.openxmlformats.org/officeDocument/2006/relationships/hyperlink" Target="http://www.scienzeascuola.it/lezioni/biologia/300-ruolo-fondamentale-dei-batteri-nel-cambiamento-climat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4</cp:revision>
  <dcterms:created xsi:type="dcterms:W3CDTF">2015-12-27T18:06:00Z</dcterms:created>
  <dcterms:modified xsi:type="dcterms:W3CDTF">2015-12-28T12:28:00Z</dcterms:modified>
</cp:coreProperties>
</file>